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E60B" w14:textId="6D016965" w:rsidR="00834F9D" w:rsidRDefault="00834F9D" w:rsidP="005B4251">
      <w:pPr>
        <w:widowControl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02F738E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5CC48DD6" w14:textId="77777777" w:rsidR="00834F9D" w:rsidRPr="00855A51" w:rsidRDefault="00834F9D" w:rsidP="009F0D1D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</w:t>
            </w:r>
            <w:proofErr w:type="spellEnd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41CB5AAE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219FD43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14434B68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</w:t>
            </w:r>
            <w:proofErr w:type="spell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proofErr w:type="gramEnd"/>
            <w:r w:rsidR="007E6CEA">
              <w:fldChar w:fldCharType="begin"/>
            </w:r>
            <w:r w:rsidR="007E6CEA">
              <w:instrText xml:space="preserve"> HYPERLINK "http://e-dictionary.apc.gov.tw" </w:instrText>
            </w:r>
            <w:r w:rsidR="007E6CEA">
              <w:fldChar w:fldCharType="separate"/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http</w:t>
            </w:r>
            <w:proofErr w:type="spellEnd"/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://e-dictionary.apc.gov.tw</w:t>
            </w:r>
            <w:r w:rsidR="007E6CEA">
              <w:rPr>
                <w:rFonts w:ascii="標楷體" w:eastAsia="標楷體" w:hAnsi="標楷體"/>
                <w:color w:val="000000"/>
                <w:kern w:val="0"/>
                <w:u w:val="single"/>
                <w:lang w:eastAsia="en-US"/>
              </w:rPr>
              <w:fldChar w:fldCharType="end"/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4B08A9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4213A0F0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</w:p>
          <w:p w14:paraId="0611F8E6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</w:t>
            </w:r>
          </w:p>
          <w:p w14:paraId="7A863DA2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398171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color w:val="000000" w:themeColor="text1"/>
              </w:rPr>
            </w:pPr>
          </w:p>
          <w:p w14:paraId="6A88096B" w14:textId="2D7D8D00" w:rsidR="0089518F" w:rsidRPr="0089518F" w:rsidRDefault="00834F9D" w:rsidP="0089518F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607086A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lastRenderedPageBreak/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17B8DB86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 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320651F" w14:textId="77777777" w:rsidR="00834F9D" w:rsidRPr="00855A51" w:rsidRDefault="00834F9D" w:rsidP="009F0D1D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25470430" w14:textId="4C781610" w:rsidR="00834F9D" w:rsidRPr="005B6D67" w:rsidRDefault="00834F9D" w:rsidP="00433166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068E84A3" w14:textId="5EC3E096" w:rsidR="00AF4D51" w:rsidRPr="00AF4D51" w:rsidRDefault="00834F9D" w:rsidP="005B6D67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0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9D53" w14:textId="77777777" w:rsidR="009B32A0" w:rsidRDefault="009B32A0" w:rsidP="00CD603F">
      <w:r>
        <w:separator/>
      </w:r>
    </w:p>
  </w:endnote>
  <w:endnote w:type="continuationSeparator" w:id="0">
    <w:p w14:paraId="198F54DF" w14:textId="77777777" w:rsidR="009B32A0" w:rsidRDefault="009B32A0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6D05" w14:textId="77777777" w:rsidR="009B32A0" w:rsidRDefault="009B32A0" w:rsidP="00CD603F">
      <w:r>
        <w:separator/>
      </w:r>
    </w:p>
  </w:footnote>
  <w:footnote w:type="continuationSeparator" w:id="0">
    <w:p w14:paraId="6A865013" w14:textId="77777777" w:rsidR="009B32A0" w:rsidRDefault="009B32A0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3FC7"/>
    <w:rsid w:val="00696693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32A0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46E7-4730-428B-A492-FEB0974D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2024-11-12T02:51:00Z</dcterms:created>
  <dcterms:modified xsi:type="dcterms:W3CDTF">2024-11-12T02:51:00Z</dcterms:modified>
</cp:coreProperties>
</file>